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1B755CDF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BF29E2">
        <w:rPr>
          <w:rFonts w:ascii="Marianne" w:hAnsi="Marianne" w:cs="Arial"/>
          <w:b/>
          <w:bCs/>
          <w:caps/>
          <w:sz w:val="24"/>
          <w:szCs w:val="24"/>
        </w:rPr>
        <w:t xml:space="preserve"> L13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3BB1AF97" w14:textId="77777777" w:rsidR="00BF29E2" w:rsidRPr="00691399" w:rsidRDefault="00BF29E2" w:rsidP="00BF29E2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2AAA0A19" w:rsidR="00691399" w:rsidRPr="00331988" w:rsidRDefault="00BF29E2" w:rsidP="00BF29E2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BF29E2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BF29E2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BF29E2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BF29E2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BF29E2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BF29E2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5B09F7D1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proofErr w:type="gramStart"/>
      <w:r w:rsidRPr="00C05DB5">
        <w:rPr>
          <w:rFonts w:ascii="Marianne" w:hAnsi="Marianne" w:cs="Arial"/>
          <w:sz w:val="20"/>
        </w:rPr>
        <w:t>au</w:t>
      </w:r>
      <w:proofErr w:type="gramEnd"/>
      <w:r w:rsidRPr="00C05DB5">
        <w:rPr>
          <w:rFonts w:ascii="Marianne" w:hAnsi="Marianne" w:cs="Arial"/>
          <w:sz w:val="20"/>
        </w:rPr>
        <w:t xml:space="preserve">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2D155C">
            <w:rPr>
              <w:rFonts w:ascii="Marianne" w:hAnsi="Marianne" w:cs="Arial"/>
              <w:sz w:val="20"/>
            </w:rPr>
            <w:t>13 Mise à disposition d'un bloc sanitaire modulaire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BF29E2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BF29E2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BF29E2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proofErr w:type="gramStart"/>
      <w:r w:rsidR="00691399">
        <w:rPr>
          <w:rFonts w:ascii="Marianne" w:hAnsi="Marianne" w:cs="Arial"/>
        </w:rPr>
        <w:t>à</w:t>
      </w:r>
      <w:proofErr w:type="gramEnd"/>
      <w:r w:rsidR="00691399">
        <w:rPr>
          <w:rFonts w:ascii="Marianne" w:hAnsi="Marianne" w:cs="Arial"/>
        </w:rPr>
        <w:t xml:space="preserve">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</w:t>
      </w:r>
      <w:proofErr w:type="gramStart"/>
      <w:r w:rsidRPr="009041F4">
        <w:rPr>
          <w:rFonts w:ascii="Marianne" w:hAnsi="Marianne" w:cs="Arial"/>
          <w:sz w:val="20"/>
        </w:rPr>
        <w:t>public;</w:t>
      </w:r>
      <w:proofErr w:type="gramEnd"/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 xml:space="preserve">Adresse </w:t>
      </w:r>
      <w:proofErr w:type="gramStart"/>
      <w:r w:rsidRPr="002011AA">
        <w:rPr>
          <w:rFonts w:ascii="Marianne" w:hAnsi="Marianne" w:cs="Arial"/>
          <w:sz w:val="20"/>
        </w:rPr>
        <w:t>mail</w:t>
      </w:r>
      <w:proofErr w:type="gramEnd"/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155C"/>
    <w:rsid w:val="002D41F3"/>
    <w:rsid w:val="002D52AC"/>
    <w:rsid w:val="002D562B"/>
    <w:rsid w:val="002D6DA5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2C52"/>
    <w:rsid w:val="004F3170"/>
    <w:rsid w:val="004F3919"/>
    <w:rsid w:val="004F6BB4"/>
    <w:rsid w:val="00504BAA"/>
    <w:rsid w:val="00505387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4626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3345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29E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</TotalTime>
  <Pages>6</Pages>
  <Words>1099</Words>
  <Characters>6048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7133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4</cp:revision>
  <cp:lastPrinted>2015-03-02T12:44:00Z</cp:lastPrinted>
  <dcterms:created xsi:type="dcterms:W3CDTF">2025-10-06T13:46:00Z</dcterms:created>
  <dcterms:modified xsi:type="dcterms:W3CDTF">2025-10-07T09:51:00Z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